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0E64" w14:textId="77777777" w:rsidR="00C05147" w:rsidRPr="00A5663C" w:rsidRDefault="00C05147" w:rsidP="00C05147">
      <w:pPr>
        <w:rPr>
          <w:rFonts w:ascii="Arial" w:hAnsi="Arial" w:cs="Arial"/>
          <w:sz w:val="20"/>
          <w:szCs w:val="20"/>
        </w:rPr>
      </w:pPr>
    </w:p>
    <w:tbl>
      <w:tblPr>
        <w:tblW w:w="95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787"/>
      </w:tblGrid>
      <w:tr w:rsidR="003B7792" w:rsidRPr="00A5663C" w14:paraId="42580E67" w14:textId="77777777" w:rsidTr="003B7792">
        <w:trPr>
          <w:trHeight w:val="285"/>
        </w:trPr>
        <w:tc>
          <w:tcPr>
            <w:tcW w:w="4787" w:type="dxa"/>
          </w:tcPr>
          <w:p w14:paraId="269F5E83" w14:textId="310057AF" w:rsidR="003B7792" w:rsidRPr="00A5663C" w:rsidRDefault="003B7792" w:rsidP="00C133C9">
            <w:pPr>
              <w:rPr>
                <w:rFonts w:ascii="Arial" w:hAnsi="Arial" w:cs="Arial"/>
                <w:sz w:val="20"/>
                <w:szCs w:val="20"/>
              </w:rPr>
            </w:pPr>
            <w:r w:rsidRPr="00A5663C">
              <w:rPr>
                <w:rFonts w:ascii="Arial" w:hAnsi="Arial" w:cs="Arial"/>
                <w:sz w:val="20"/>
                <w:szCs w:val="20"/>
              </w:rPr>
              <w:t>[Graphic: Internship Edge]</w:t>
            </w:r>
          </w:p>
        </w:tc>
        <w:tc>
          <w:tcPr>
            <w:tcW w:w="4787" w:type="dxa"/>
          </w:tcPr>
          <w:p w14:paraId="42580E65" w14:textId="5CAAFC56" w:rsidR="003B7792" w:rsidRPr="00A5663C" w:rsidRDefault="003B7792" w:rsidP="00C133C9">
            <w:pPr>
              <w:rPr>
                <w:rFonts w:ascii="Arial" w:hAnsi="Arial" w:cs="Arial"/>
                <w:sz w:val="20"/>
                <w:szCs w:val="20"/>
              </w:rPr>
            </w:pPr>
          </w:p>
        </w:tc>
      </w:tr>
      <w:tr w:rsidR="003B7792" w:rsidRPr="00A5663C" w14:paraId="42580E6D" w14:textId="77777777" w:rsidTr="003B7792">
        <w:tblPrEx>
          <w:tblCellMar>
            <w:top w:w="72" w:type="dxa"/>
            <w:left w:w="115" w:type="dxa"/>
            <w:bottom w:w="72" w:type="dxa"/>
            <w:right w:w="115" w:type="dxa"/>
          </w:tblCellMar>
        </w:tblPrEx>
        <w:trPr>
          <w:trHeight w:val="1013"/>
        </w:trPr>
        <w:tc>
          <w:tcPr>
            <w:tcW w:w="4787" w:type="dxa"/>
          </w:tcPr>
          <w:p w14:paraId="7530AFAF"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[Graphic: Walter Tarver</w:t>
            </w:r>
          </w:p>
          <w:p w14:paraId="67D0C7FB" w14:textId="77777777" w:rsidR="003B7792" w:rsidRDefault="003B7792" w:rsidP="00F533B6">
            <w:pPr>
              <w:tabs>
                <w:tab w:val="left" w:pos="4301"/>
              </w:tabs>
              <w:spacing w:after="0"/>
              <w:rPr>
                <w:rFonts w:ascii="Arial" w:hAnsi="Arial" w:cs="Arial"/>
                <w:i/>
                <w:color w:val="000000"/>
                <w:sz w:val="20"/>
                <w:szCs w:val="20"/>
              </w:rPr>
            </w:pPr>
            <w:r>
              <w:rPr>
                <w:rFonts w:ascii="Arial" w:hAnsi="Arial" w:cs="Arial"/>
                <w:i/>
                <w:color w:val="000000"/>
                <w:sz w:val="20"/>
                <w:szCs w:val="20"/>
              </w:rPr>
              <w:t>Career Center Director</w:t>
            </w:r>
          </w:p>
          <w:p w14:paraId="4F94C851" w14:textId="77777777" w:rsidR="003B7792" w:rsidRPr="00AF3AAC" w:rsidRDefault="003B7792" w:rsidP="00F533B6">
            <w:pPr>
              <w:tabs>
                <w:tab w:val="left" w:pos="4301"/>
              </w:tabs>
              <w:spacing w:after="0"/>
              <w:rPr>
                <w:rFonts w:ascii="Arial" w:hAnsi="Arial" w:cs="Arial"/>
                <w:i/>
                <w:color w:val="000000"/>
                <w:sz w:val="20"/>
                <w:szCs w:val="20"/>
              </w:rPr>
            </w:pPr>
            <w:r>
              <w:rPr>
                <w:rFonts w:ascii="Arial" w:hAnsi="Arial" w:cs="Arial"/>
                <w:i/>
                <w:color w:val="000000"/>
                <w:sz w:val="20"/>
                <w:szCs w:val="20"/>
              </w:rPr>
              <w:t>The Richard Stockton College of N.J.]</w:t>
            </w:r>
          </w:p>
          <w:p w14:paraId="642EBC17" w14:textId="77777777" w:rsidR="003B7792" w:rsidRPr="00A5663C" w:rsidRDefault="003B7792" w:rsidP="00C133C9">
            <w:pPr>
              <w:rPr>
                <w:rFonts w:ascii="Arial" w:hAnsi="Arial" w:cs="Arial"/>
                <w:sz w:val="20"/>
                <w:szCs w:val="20"/>
              </w:rPr>
            </w:pPr>
          </w:p>
        </w:tc>
        <w:tc>
          <w:tcPr>
            <w:tcW w:w="4787" w:type="dxa"/>
          </w:tcPr>
          <w:p w14:paraId="42580E68" w14:textId="4AF99750" w:rsidR="003B7792" w:rsidRPr="00A5663C" w:rsidRDefault="003B7792" w:rsidP="00C133C9">
            <w:pPr>
              <w:rPr>
                <w:rFonts w:ascii="Arial" w:hAnsi="Arial" w:cs="Arial"/>
                <w:sz w:val="20"/>
                <w:szCs w:val="20"/>
              </w:rPr>
            </w:pPr>
            <w:r w:rsidRPr="00A5663C">
              <w:rPr>
                <w:rFonts w:ascii="Arial" w:hAnsi="Arial" w:cs="Arial"/>
                <w:sz w:val="20"/>
                <w:szCs w:val="20"/>
              </w:rPr>
              <w:t xml:space="preserve">Internships are just so valuable.  Internships help students in a few ways. </w:t>
            </w:r>
          </w:p>
        </w:tc>
      </w:tr>
      <w:tr w:rsidR="003B7792" w:rsidRPr="00A5663C" w14:paraId="42580E76" w14:textId="77777777" w:rsidTr="003B7792">
        <w:tblPrEx>
          <w:tblCellMar>
            <w:top w:w="72" w:type="dxa"/>
            <w:left w:w="115" w:type="dxa"/>
            <w:bottom w:w="72" w:type="dxa"/>
            <w:right w:w="115" w:type="dxa"/>
          </w:tblCellMar>
        </w:tblPrEx>
        <w:trPr>
          <w:trHeight w:val="155"/>
        </w:trPr>
        <w:tc>
          <w:tcPr>
            <w:tcW w:w="4787" w:type="dxa"/>
          </w:tcPr>
          <w:p w14:paraId="19D5A6FE" w14:textId="77777777" w:rsidR="003B7792" w:rsidRPr="00A5663C" w:rsidRDefault="003B7792" w:rsidP="00F533B6">
            <w:pPr>
              <w:tabs>
                <w:tab w:val="left" w:pos="4301"/>
              </w:tabs>
              <w:rPr>
                <w:rFonts w:ascii="Arial" w:hAnsi="Arial" w:cs="Arial"/>
                <w:color w:val="000000"/>
                <w:sz w:val="20"/>
                <w:szCs w:val="20"/>
              </w:rPr>
            </w:pPr>
            <w:r w:rsidRPr="00A5663C">
              <w:rPr>
                <w:rFonts w:ascii="Arial" w:hAnsi="Arial" w:cs="Arial"/>
                <w:color w:val="000000"/>
                <w:sz w:val="20"/>
                <w:szCs w:val="20"/>
              </w:rPr>
              <w:t>(Walter)</w:t>
            </w:r>
          </w:p>
          <w:p w14:paraId="34741067" w14:textId="77777777" w:rsidR="003B7792" w:rsidRDefault="003B7792" w:rsidP="00F533B6">
            <w:pPr>
              <w:rPr>
                <w:rFonts w:ascii="Arial" w:hAnsi="Arial" w:cs="Arial"/>
                <w:bCs/>
                <w:sz w:val="20"/>
                <w:szCs w:val="20"/>
              </w:rPr>
            </w:pPr>
            <w:r>
              <w:rPr>
                <w:rFonts w:ascii="Arial" w:hAnsi="Arial" w:cs="Arial"/>
                <w:bCs/>
                <w:sz w:val="20"/>
                <w:szCs w:val="20"/>
              </w:rPr>
              <w:t>[Graphic: Internship Value:</w:t>
            </w:r>
          </w:p>
          <w:p w14:paraId="63A606BF" w14:textId="77777777" w:rsidR="003B7792" w:rsidRDefault="003B7792" w:rsidP="00F533B6">
            <w:pPr>
              <w:pStyle w:val="ListParagraph"/>
              <w:numPr>
                <w:ilvl w:val="0"/>
                <w:numId w:val="1"/>
              </w:numPr>
              <w:rPr>
                <w:rFonts w:ascii="Arial" w:hAnsi="Arial" w:cs="Arial"/>
                <w:bCs/>
                <w:sz w:val="20"/>
                <w:szCs w:val="20"/>
              </w:rPr>
            </w:pPr>
            <w:r>
              <w:rPr>
                <w:rFonts w:ascii="Arial" w:hAnsi="Arial" w:cs="Arial"/>
                <w:bCs/>
                <w:sz w:val="20"/>
                <w:szCs w:val="20"/>
              </w:rPr>
              <w:t>Real tangible experience</w:t>
            </w:r>
          </w:p>
          <w:p w14:paraId="735DCA97" w14:textId="77777777" w:rsidR="003B7792" w:rsidRDefault="003B7792" w:rsidP="00F533B6">
            <w:pPr>
              <w:pStyle w:val="ListParagraph"/>
              <w:numPr>
                <w:ilvl w:val="0"/>
                <w:numId w:val="1"/>
              </w:numPr>
              <w:rPr>
                <w:rFonts w:ascii="Arial" w:hAnsi="Arial" w:cs="Arial"/>
                <w:bCs/>
                <w:sz w:val="20"/>
                <w:szCs w:val="20"/>
              </w:rPr>
            </w:pPr>
            <w:r>
              <w:rPr>
                <w:rFonts w:ascii="Arial" w:hAnsi="Arial" w:cs="Arial"/>
                <w:bCs/>
                <w:sz w:val="20"/>
                <w:szCs w:val="20"/>
              </w:rPr>
              <w:t>Determine if want job</w:t>
            </w:r>
          </w:p>
          <w:p w14:paraId="4B970760" w14:textId="7031F0B3" w:rsidR="003B7792" w:rsidRPr="00A5663C" w:rsidRDefault="003B7792" w:rsidP="005D665F">
            <w:pPr>
              <w:rPr>
                <w:rFonts w:ascii="Arial" w:hAnsi="Arial" w:cs="Arial"/>
                <w:sz w:val="20"/>
                <w:szCs w:val="20"/>
              </w:rPr>
            </w:pPr>
            <w:r>
              <w:rPr>
                <w:rFonts w:ascii="Arial" w:hAnsi="Arial" w:cs="Arial"/>
                <w:bCs/>
                <w:sz w:val="20"/>
                <w:szCs w:val="20"/>
              </w:rPr>
              <w:t>Learn how to work]</w:t>
            </w:r>
            <w:bookmarkStart w:id="0" w:name="_GoBack"/>
            <w:bookmarkEnd w:id="0"/>
          </w:p>
        </w:tc>
        <w:tc>
          <w:tcPr>
            <w:tcW w:w="4787" w:type="dxa"/>
          </w:tcPr>
          <w:p w14:paraId="42580E6E" w14:textId="6FF2AB00" w:rsidR="003B7792" w:rsidRPr="00A5663C" w:rsidRDefault="003B7792" w:rsidP="005D665F">
            <w:pPr>
              <w:rPr>
                <w:rFonts w:ascii="Arial" w:hAnsi="Arial" w:cs="Arial"/>
                <w:sz w:val="20"/>
                <w:szCs w:val="20"/>
              </w:rPr>
            </w:pPr>
            <w:r w:rsidRPr="00A5663C">
              <w:rPr>
                <w:rFonts w:ascii="Arial" w:hAnsi="Arial" w:cs="Arial"/>
                <w:sz w:val="20"/>
                <w:szCs w:val="20"/>
              </w:rPr>
              <w:t xml:space="preserve">One it gives them real tangible experience.  </w:t>
            </w:r>
          </w:p>
          <w:p w14:paraId="42580E6F" w14:textId="77777777" w:rsidR="003B7792" w:rsidRPr="00A5663C" w:rsidRDefault="003B7792" w:rsidP="005D665F">
            <w:pPr>
              <w:rPr>
                <w:rFonts w:ascii="Arial" w:hAnsi="Arial" w:cs="Arial"/>
                <w:sz w:val="20"/>
                <w:szCs w:val="20"/>
              </w:rPr>
            </w:pPr>
            <w:r w:rsidRPr="00A5663C">
              <w:rPr>
                <w:rFonts w:ascii="Arial" w:hAnsi="Arial" w:cs="Arial"/>
                <w:sz w:val="20"/>
                <w:szCs w:val="20"/>
              </w:rPr>
              <w:t>Two, it can help them determine whether they want to do that job or not.</w:t>
            </w:r>
          </w:p>
          <w:p w14:paraId="42580E70" w14:textId="77777777" w:rsidR="003B7792" w:rsidRPr="00A5663C" w:rsidRDefault="003B7792" w:rsidP="005D665F">
            <w:pPr>
              <w:pStyle w:val="NoSpacing"/>
              <w:rPr>
                <w:rFonts w:ascii="Arial" w:hAnsi="Arial" w:cs="Arial"/>
                <w:sz w:val="20"/>
                <w:szCs w:val="20"/>
              </w:rPr>
            </w:pPr>
            <w:r w:rsidRPr="00A5663C">
              <w:rPr>
                <w:rFonts w:ascii="Arial" w:hAnsi="Arial" w:cs="Arial"/>
                <w:sz w:val="20"/>
                <w:szCs w:val="20"/>
              </w:rPr>
              <w:t xml:space="preserve">But one of the biggest takeaways </w:t>
            </w:r>
            <w:proofErr w:type="gramStart"/>
            <w:r w:rsidRPr="00A5663C">
              <w:rPr>
                <w:rFonts w:ascii="Arial" w:hAnsi="Arial" w:cs="Arial"/>
                <w:sz w:val="20"/>
                <w:szCs w:val="20"/>
              </w:rPr>
              <w:t>is knowing</w:t>
            </w:r>
            <w:proofErr w:type="gramEnd"/>
            <w:r w:rsidRPr="00A5663C">
              <w:rPr>
                <w:rFonts w:ascii="Arial" w:hAnsi="Arial" w:cs="Arial"/>
                <w:sz w:val="20"/>
                <w:szCs w:val="20"/>
              </w:rPr>
              <w:t xml:space="preserve"> how to work.  </w:t>
            </w:r>
          </w:p>
        </w:tc>
      </w:tr>
      <w:tr w:rsidR="003B7792" w:rsidRPr="00A5663C" w14:paraId="42580E88" w14:textId="77777777" w:rsidTr="003B7792">
        <w:tblPrEx>
          <w:tblCellMar>
            <w:top w:w="72" w:type="dxa"/>
            <w:left w:w="115" w:type="dxa"/>
            <w:bottom w:w="72" w:type="dxa"/>
            <w:right w:w="115" w:type="dxa"/>
          </w:tblCellMar>
        </w:tblPrEx>
        <w:trPr>
          <w:trHeight w:val="155"/>
        </w:trPr>
        <w:tc>
          <w:tcPr>
            <w:tcW w:w="4787" w:type="dxa"/>
          </w:tcPr>
          <w:p w14:paraId="46EBE7F5" w14:textId="77777777" w:rsidR="003B7792" w:rsidRDefault="003B7792" w:rsidP="00F533B6">
            <w:pPr>
              <w:tabs>
                <w:tab w:val="left" w:pos="4301"/>
              </w:tabs>
              <w:rPr>
                <w:rFonts w:ascii="Arial" w:hAnsi="Arial" w:cs="Arial"/>
                <w:color w:val="000000"/>
                <w:sz w:val="20"/>
                <w:szCs w:val="20"/>
              </w:rPr>
            </w:pPr>
            <w:r w:rsidRPr="00A5663C">
              <w:rPr>
                <w:rFonts w:ascii="Arial" w:hAnsi="Arial" w:cs="Arial"/>
                <w:color w:val="000000"/>
                <w:sz w:val="20"/>
                <w:szCs w:val="20"/>
              </w:rPr>
              <w:t>(Walter)</w:t>
            </w:r>
          </w:p>
          <w:p w14:paraId="632E6F41"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[Graphic:</w:t>
            </w:r>
          </w:p>
          <w:p w14:paraId="076EF4DF"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Produce</w:t>
            </w:r>
          </w:p>
          <w:p w14:paraId="46B4C3D6"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Be on time</w:t>
            </w:r>
          </w:p>
          <w:p w14:paraId="1FC9C4C2"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 xml:space="preserve">Enthusiastic </w:t>
            </w:r>
          </w:p>
          <w:p w14:paraId="1A8DFC0E"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Accountable</w:t>
            </w:r>
          </w:p>
          <w:p w14:paraId="540B53B1"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Work with others</w:t>
            </w:r>
          </w:p>
          <w:p w14:paraId="51968664"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Develop skills</w:t>
            </w:r>
          </w:p>
          <w:p w14:paraId="16AE830C"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Work ethic</w:t>
            </w:r>
          </w:p>
          <w:p w14:paraId="3FE6193C" w14:textId="77777777" w:rsidR="003B7792" w:rsidRPr="00A5663C"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=HOW TO WORK]</w:t>
            </w:r>
          </w:p>
          <w:p w14:paraId="11DCC758" w14:textId="77777777" w:rsidR="003B7792" w:rsidRPr="00A5663C" w:rsidRDefault="003B7792" w:rsidP="005D665F">
            <w:pPr>
              <w:pStyle w:val="NoSpacing"/>
              <w:rPr>
                <w:rFonts w:ascii="Arial" w:hAnsi="Arial" w:cs="Arial"/>
                <w:sz w:val="20"/>
                <w:szCs w:val="20"/>
              </w:rPr>
            </w:pPr>
          </w:p>
        </w:tc>
        <w:tc>
          <w:tcPr>
            <w:tcW w:w="4787" w:type="dxa"/>
          </w:tcPr>
          <w:p w14:paraId="42580E77" w14:textId="7C02C8C2" w:rsidR="003B7792" w:rsidRPr="00A5663C" w:rsidRDefault="003B7792" w:rsidP="005D665F">
            <w:pPr>
              <w:pStyle w:val="NoSpacing"/>
              <w:rPr>
                <w:rFonts w:ascii="Arial" w:hAnsi="Arial" w:cs="Arial"/>
                <w:sz w:val="20"/>
                <w:szCs w:val="20"/>
              </w:rPr>
            </w:pPr>
            <w:r w:rsidRPr="00A5663C">
              <w:rPr>
                <w:rFonts w:ascii="Arial" w:hAnsi="Arial" w:cs="Arial"/>
                <w:sz w:val="20"/>
                <w:szCs w:val="20"/>
              </w:rPr>
              <w:t xml:space="preserve">You know part-time jobs at the mall maybe for your family’s company, they aren’t quite the same as when you go into one of these larger organizations and they’re really counting on you to produce.  </w:t>
            </w:r>
          </w:p>
          <w:p w14:paraId="42580E78" w14:textId="77777777" w:rsidR="003B7792" w:rsidRPr="00A5663C" w:rsidRDefault="003B7792" w:rsidP="005D665F">
            <w:pPr>
              <w:pStyle w:val="NoSpacing"/>
              <w:rPr>
                <w:rFonts w:ascii="Arial" w:hAnsi="Arial" w:cs="Arial"/>
                <w:sz w:val="20"/>
                <w:szCs w:val="20"/>
              </w:rPr>
            </w:pPr>
          </w:p>
          <w:p w14:paraId="42580E79" w14:textId="77777777" w:rsidR="003B7792" w:rsidRPr="00A5663C" w:rsidRDefault="003B7792" w:rsidP="005D665F">
            <w:pPr>
              <w:pStyle w:val="NoSpacing"/>
              <w:rPr>
                <w:rFonts w:ascii="Arial" w:hAnsi="Arial" w:cs="Arial"/>
                <w:sz w:val="20"/>
                <w:szCs w:val="20"/>
              </w:rPr>
            </w:pPr>
            <w:r w:rsidRPr="00A5663C">
              <w:rPr>
                <w:rFonts w:ascii="Arial" w:hAnsi="Arial" w:cs="Arial"/>
                <w:sz w:val="20"/>
                <w:szCs w:val="20"/>
              </w:rPr>
              <w:t xml:space="preserve">But not only to produce but to be there on time, to be enthusiastic about what you’re doing, to be accountable, to be able to work with others.  </w:t>
            </w:r>
          </w:p>
          <w:p w14:paraId="42580E7A" w14:textId="77777777" w:rsidR="003B7792" w:rsidRPr="00A5663C" w:rsidRDefault="003B7792" w:rsidP="00AF3AAC">
            <w:pPr>
              <w:pStyle w:val="NoSpacing"/>
              <w:rPr>
                <w:rFonts w:ascii="Arial" w:hAnsi="Arial" w:cs="Arial"/>
                <w:sz w:val="20"/>
                <w:szCs w:val="20"/>
              </w:rPr>
            </w:pPr>
            <w:r w:rsidRPr="00A5663C">
              <w:rPr>
                <w:rFonts w:ascii="Arial" w:hAnsi="Arial" w:cs="Arial"/>
                <w:sz w:val="20"/>
                <w:szCs w:val="20"/>
              </w:rPr>
              <w:t xml:space="preserve">You start to develop those intangible skills and you start to develop that work ethic that any employer will look for.  </w:t>
            </w:r>
          </w:p>
          <w:p w14:paraId="42580E7B" w14:textId="77777777" w:rsidR="003B7792" w:rsidRPr="00A5663C" w:rsidRDefault="003B7792" w:rsidP="00AF3AAC">
            <w:pPr>
              <w:pStyle w:val="NoSpacing"/>
              <w:rPr>
                <w:rFonts w:ascii="Arial" w:hAnsi="Arial" w:cs="Arial"/>
                <w:sz w:val="20"/>
                <w:szCs w:val="20"/>
              </w:rPr>
            </w:pPr>
          </w:p>
          <w:p w14:paraId="42580E7C" w14:textId="77777777" w:rsidR="003B7792" w:rsidRPr="00A5663C" w:rsidRDefault="003B7792" w:rsidP="00AF3AAC">
            <w:pPr>
              <w:pStyle w:val="NoSpacing"/>
              <w:rPr>
                <w:rFonts w:ascii="Arial" w:hAnsi="Arial" w:cs="Arial"/>
                <w:color w:val="000000" w:themeColor="text1"/>
                <w:sz w:val="20"/>
                <w:szCs w:val="20"/>
              </w:rPr>
            </w:pPr>
            <w:r w:rsidRPr="00A5663C">
              <w:rPr>
                <w:rFonts w:ascii="Arial" w:hAnsi="Arial" w:cs="Arial"/>
                <w:sz w:val="20"/>
                <w:szCs w:val="20"/>
              </w:rPr>
              <w:t xml:space="preserve">So one of the big things that we preach is that this kind of teaches you how to work.  </w:t>
            </w:r>
          </w:p>
        </w:tc>
      </w:tr>
      <w:tr w:rsidR="003B7792" w:rsidRPr="00A5663C" w14:paraId="42580E91" w14:textId="77777777" w:rsidTr="003B7792">
        <w:tblPrEx>
          <w:tblCellMar>
            <w:top w:w="72" w:type="dxa"/>
            <w:left w:w="115" w:type="dxa"/>
            <w:bottom w:w="72" w:type="dxa"/>
            <w:right w:w="115" w:type="dxa"/>
          </w:tblCellMar>
        </w:tblPrEx>
        <w:trPr>
          <w:trHeight w:val="155"/>
        </w:trPr>
        <w:tc>
          <w:tcPr>
            <w:tcW w:w="4787" w:type="dxa"/>
          </w:tcPr>
          <w:p w14:paraId="7962DD46" w14:textId="77777777" w:rsidR="003B7792" w:rsidRDefault="003B7792" w:rsidP="00F533B6">
            <w:pPr>
              <w:tabs>
                <w:tab w:val="left" w:pos="4301"/>
              </w:tabs>
              <w:spacing w:after="0"/>
              <w:rPr>
                <w:rFonts w:ascii="Arial" w:hAnsi="Arial" w:cs="Arial"/>
                <w:color w:val="000000"/>
                <w:sz w:val="20"/>
                <w:szCs w:val="20"/>
              </w:rPr>
            </w:pPr>
            <w:r>
              <w:rPr>
                <w:rFonts w:ascii="Arial" w:hAnsi="Arial" w:cs="Arial"/>
                <w:color w:val="000000"/>
                <w:sz w:val="20"/>
                <w:szCs w:val="20"/>
              </w:rPr>
              <w:t>[Graphic: Walter Tarver</w:t>
            </w:r>
          </w:p>
          <w:p w14:paraId="60CFB566" w14:textId="77777777" w:rsidR="003B7792" w:rsidRDefault="003B7792" w:rsidP="00F533B6">
            <w:pPr>
              <w:tabs>
                <w:tab w:val="left" w:pos="4301"/>
              </w:tabs>
              <w:spacing w:after="0"/>
              <w:rPr>
                <w:rFonts w:ascii="Arial" w:hAnsi="Arial" w:cs="Arial"/>
                <w:i/>
                <w:color w:val="000000"/>
                <w:sz w:val="20"/>
                <w:szCs w:val="20"/>
              </w:rPr>
            </w:pPr>
            <w:r>
              <w:rPr>
                <w:rFonts w:ascii="Arial" w:hAnsi="Arial" w:cs="Arial"/>
                <w:i/>
                <w:color w:val="000000"/>
                <w:sz w:val="20"/>
                <w:szCs w:val="20"/>
              </w:rPr>
              <w:t>Career Center Director</w:t>
            </w:r>
          </w:p>
          <w:p w14:paraId="1B6EE459" w14:textId="77777777" w:rsidR="003B7792" w:rsidRPr="00AF3AAC" w:rsidRDefault="003B7792" w:rsidP="00F533B6">
            <w:pPr>
              <w:tabs>
                <w:tab w:val="left" w:pos="4301"/>
              </w:tabs>
              <w:spacing w:after="0"/>
              <w:rPr>
                <w:rFonts w:ascii="Arial" w:hAnsi="Arial" w:cs="Arial"/>
                <w:i/>
                <w:color w:val="000000"/>
                <w:sz w:val="20"/>
                <w:szCs w:val="20"/>
              </w:rPr>
            </w:pPr>
            <w:r>
              <w:rPr>
                <w:rFonts w:ascii="Arial" w:hAnsi="Arial" w:cs="Arial"/>
                <w:i/>
                <w:color w:val="000000"/>
                <w:sz w:val="20"/>
                <w:szCs w:val="20"/>
              </w:rPr>
              <w:t>The Richard Stockton College of N.J.]</w:t>
            </w:r>
          </w:p>
          <w:p w14:paraId="4C437D03" w14:textId="77777777" w:rsidR="003B7792" w:rsidRPr="00A5663C" w:rsidRDefault="003B7792" w:rsidP="005D665F">
            <w:pPr>
              <w:pStyle w:val="NoSpacing"/>
              <w:rPr>
                <w:rFonts w:ascii="Arial" w:hAnsi="Arial" w:cs="Arial"/>
                <w:sz w:val="20"/>
                <w:szCs w:val="20"/>
              </w:rPr>
            </w:pPr>
          </w:p>
        </w:tc>
        <w:tc>
          <w:tcPr>
            <w:tcW w:w="4787" w:type="dxa"/>
          </w:tcPr>
          <w:p w14:paraId="42580E89" w14:textId="5DD84106" w:rsidR="003B7792" w:rsidRPr="00A5663C" w:rsidRDefault="003B7792" w:rsidP="005D665F">
            <w:pPr>
              <w:pStyle w:val="NoSpacing"/>
              <w:rPr>
                <w:rFonts w:ascii="Arial" w:hAnsi="Arial" w:cs="Arial"/>
                <w:sz w:val="20"/>
                <w:szCs w:val="20"/>
              </w:rPr>
            </w:pPr>
            <w:r w:rsidRPr="00A5663C">
              <w:rPr>
                <w:rFonts w:ascii="Arial" w:hAnsi="Arial" w:cs="Arial"/>
                <w:sz w:val="20"/>
                <w:szCs w:val="20"/>
              </w:rPr>
              <w:t xml:space="preserve">So a lot of time it really helps you either affirm a decision you’ve already made or kind of forces you to make a change if you find out that’s not the environment you want to be in. But you know that more than anything else it gives you that experience.  </w:t>
            </w:r>
          </w:p>
          <w:p w14:paraId="42580E8A" w14:textId="77777777" w:rsidR="003B7792" w:rsidRPr="00A5663C" w:rsidRDefault="003B7792" w:rsidP="005D665F">
            <w:pPr>
              <w:pStyle w:val="NoSpacing"/>
              <w:rPr>
                <w:rFonts w:ascii="Arial" w:hAnsi="Arial" w:cs="Arial"/>
                <w:sz w:val="20"/>
                <w:szCs w:val="20"/>
              </w:rPr>
            </w:pPr>
          </w:p>
          <w:p w14:paraId="42580E8B" w14:textId="77777777" w:rsidR="003B7792" w:rsidRPr="00A5663C" w:rsidRDefault="003B7792" w:rsidP="005D665F">
            <w:pPr>
              <w:pStyle w:val="NoSpacing"/>
              <w:rPr>
                <w:rFonts w:ascii="Arial" w:hAnsi="Arial" w:cs="Arial"/>
                <w:sz w:val="20"/>
                <w:szCs w:val="20"/>
              </w:rPr>
            </w:pPr>
            <w:r w:rsidRPr="00A5663C">
              <w:rPr>
                <w:rFonts w:ascii="Arial" w:hAnsi="Arial" w:cs="Arial"/>
                <w:sz w:val="20"/>
                <w:szCs w:val="20"/>
              </w:rPr>
              <w:t xml:space="preserve">And studies show that students who’ve had internships tend to be a lot more successful in landing that first job. </w:t>
            </w:r>
          </w:p>
          <w:p w14:paraId="42580E8C" w14:textId="77777777" w:rsidR="003B7792" w:rsidRPr="00A5663C" w:rsidRDefault="003B7792" w:rsidP="00C133C9">
            <w:pPr>
              <w:rPr>
                <w:rFonts w:ascii="Arial" w:hAnsi="Arial" w:cs="Arial"/>
                <w:sz w:val="20"/>
                <w:szCs w:val="20"/>
              </w:rPr>
            </w:pPr>
          </w:p>
        </w:tc>
      </w:tr>
    </w:tbl>
    <w:p w14:paraId="42580E93" w14:textId="77777777" w:rsidR="00B708B0" w:rsidRPr="00A5663C" w:rsidRDefault="003B7792">
      <w:pPr>
        <w:rPr>
          <w:rFonts w:ascii="Arial" w:hAnsi="Arial" w:cs="Arial"/>
          <w:sz w:val="20"/>
          <w:szCs w:val="20"/>
        </w:rPr>
      </w:pPr>
    </w:p>
    <w:sectPr w:rsidR="00B708B0" w:rsidRPr="00A5663C" w:rsidSect="00374C47">
      <w:headerReference w:type="default" r:id="rId12"/>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345BE" w14:textId="77777777" w:rsidR="003B7792" w:rsidRDefault="003B7792" w:rsidP="003B7792">
      <w:pPr>
        <w:spacing w:after="0" w:line="240" w:lineRule="auto"/>
      </w:pPr>
      <w:r>
        <w:separator/>
      </w:r>
    </w:p>
  </w:endnote>
  <w:endnote w:type="continuationSeparator" w:id="0">
    <w:p w14:paraId="715BC11C" w14:textId="77777777" w:rsidR="003B7792" w:rsidRDefault="003B7792" w:rsidP="003B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10083" w14:textId="77777777" w:rsidR="003B7792" w:rsidRDefault="003B7792" w:rsidP="003B7792">
      <w:pPr>
        <w:spacing w:after="0" w:line="240" w:lineRule="auto"/>
      </w:pPr>
      <w:r>
        <w:separator/>
      </w:r>
    </w:p>
  </w:footnote>
  <w:footnote w:type="continuationSeparator" w:id="0">
    <w:p w14:paraId="5637D2F4" w14:textId="77777777" w:rsidR="003B7792" w:rsidRDefault="003B7792" w:rsidP="003B7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68B2" w14:textId="77777777" w:rsidR="003B7792" w:rsidRDefault="003B7792" w:rsidP="003B7792">
    <w:pPr>
      <w:pStyle w:val="NoSpacing"/>
      <w:jc w:val="center"/>
      <w:rPr>
        <w:rFonts w:ascii="Arial" w:hAnsi="Arial" w:cs="Arial"/>
        <w:sz w:val="20"/>
        <w:szCs w:val="20"/>
      </w:rPr>
    </w:pPr>
    <w:r w:rsidRPr="00A5663C">
      <w:rPr>
        <w:rFonts w:ascii="Arial" w:hAnsi="Arial" w:cs="Arial"/>
        <w:b/>
        <w:noProof/>
        <w:color w:val="000000"/>
        <w:sz w:val="20"/>
        <w:szCs w:val="20"/>
      </w:rPr>
      <w:drawing>
        <wp:inline distT="0" distB="0" distL="0" distR="0" wp14:anchorId="2BEE539F" wp14:editId="710ABB0C">
          <wp:extent cx="2543175" cy="797115"/>
          <wp:effectExtent l="0" t="0" r="0" b="0"/>
          <wp:docPr id="2"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543175" cy="797115"/>
                  </a:xfrm>
                  <a:prstGeom prst="rect">
                    <a:avLst/>
                  </a:prstGeom>
                  <a:noFill/>
                  <a:ln w="9525">
                    <a:noFill/>
                    <a:miter lim="800000"/>
                    <a:headEnd/>
                    <a:tailEnd/>
                  </a:ln>
                </pic:spPr>
              </pic:pic>
            </a:graphicData>
          </a:graphic>
        </wp:inline>
      </w:drawing>
    </w:r>
  </w:p>
  <w:p w14:paraId="65783C5E" w14:textId="77777777" w:rsidR="003B7792" w:rsidRPr="00374C47" w:rsidRDefault="003B7792" w:rsidP="003B7792">
    <w:pPr>
      <w:pStyle w:val="NoSpacing"/>
      <w:jc w:val="center"/>
      <w:rPr>
        <w:rFonts w:ascii="Arial" w:hAnsi="Arial" w:cs="Arial"/>
        <w:sz w:val="28"/>
        <w:szCs w:val="28"/>
      </w:rPr>
    </w:pPr>
    <w:r w:rsidRPr="00374C47">
      <w:rPr>
        <w:rFonts w:ascii="Arial" w:hAnsi="Arial" w:cs="Arial"/>
        <w:sz w:val="28"/>
        <w:szCs w:val="28"/>
      </w:rPr>
      <w:t>Internship Edge</w:t>
    </w:r>
  </w:p>
  <w:p w14:paraId="50B0DBD5" w14:textId="77777777" w:rsidR="003B7792" w:rsidRPr="00374C47" w:rsidRDefault="003B7792" w:rsidP="003B7792">
    <w:pPr>
      <w:pStyle w:val="NoSpacing"/>
      <w:jc w:val="center"/>
      <w:rPr>
        <w:rFonts w:ascii="Arial" w:hAnsi="Arial" w:cs="Arial"/>
        <w:i/>
        <w:sz w:val="20"/>
        <w:szCs w:val="20"/>
      </w:rPr>
    </w:pPr>
    <w:r w:rsidRPr="00374C47">
      <w:rPr>
        <w:rFonts w:ascii="Arial" w:hAnsi="Arial" w:cs="Arial"/>
        <w:i/>
        <w:sz w:val="20"/>
        <w:szCs w:val="20"/>
      </w:rPr>
      <w:t>Copyright ©2013</w:t>
    </w:r>
  </w:p>
  <w:p w14:paraId="114C4240" w14:textId="77777777" w:rsidR="003B7792" w:rsidRDefault="003B7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2D5"/>
    <w:multiLevelType w:val="hybridMultilevel"/>
    <w:tmpl w:val="8F0A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147"/>
    <w:rsid w:val="00265633"/>
    <w:rsid w:val="00374C47"/>
    <w:rsid w:val="003B7792"/>
    <w:rsid w:val="00427E96"/>
    <w:rsid w:val="004C7FD3"/>
    <w:rsid w:val="005D665F"/>
    <w:rsid w:val="006571BF"/>
    <w:rsid w:val="007F00F2"/>
    <w:rsid w:val="00A5663C"/>
    <w:rsid w:val="00AF3AAC"/>
    <w:rsid w:val="00C05147"/>
    <w:rsid w:val="00C93034"/>
    <w:rsid w:val="00E562FC"/>
    <w:rsid w:val="00F1778D"/>
    <w:rsid w:val="00F2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05147"/>
    <w:pPr>
      <w:spacing w:after="0" w:line="240" w:lineRule="auto"/>
    </w:pPr>
  </w:style>
  <w:style w:type="paragraph" w:styleId="BalloonText">
    <w:name w:val="Balloon Text"/>
    <w:basedOn w:val="Normal"/>
    <w:link w:val="BalloonTextChar"/>
    <w:uiPriority w:val="99"/>
    <w:semiHidden/>
    <w:unhideWhenUsed/>
    <w:rsid w:val="00C0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47"/>
    <w:rPr>
      <w:rFonts w:ascii="Tahoma" w:hAnsi="Tahoma" w:cs="Tahoma"/>
      <w:sz w:val="16"/>
      <w:szCs w:val="16"/>
    </w:rPr>
  </w:style>
  <w:style w:type="paragraph" w:styleId="ListParagraph">
    <w:name w:val="List Paragraph"/>
    <w:basedOn w:val="Normal"/>
    <w:uiPriority w:val="34"/>
    <w:qFormat/>
    <w:rsid w:val="006571BF"/>
    <w:pPr>
      <w:ind w:left="720"/>
      <w:contextualSpacing/>
    </w:pPr>
  </w:style>
  <w:style w:type="paragraph" w:styleId="Header">
    <w:name w:val="header"/>
    <w:basedOn w:val="Normal"/>
    <w:link w:val="HeaderChar"/>
    <w:uiPriority w:val="99"/>
    <w:unhideWhenUsed/>
    <w:rsid w:val="003B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92"/>
  </w:style>
  <w:style w:type="paragraph" w:styleId="Footer">
    <w:name w:val="footer"/>
    <w:basedOn w:val="Normal"/>
    <w:link w:val="FooterChar"/>
    <w:uiPriority w:val="99"/>
    <w:unhideWhenUsed/>
    <w:rsid w:val="003B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BCF1-AB0B-46EB-8AEF-C569B1AB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799D6E-34A9-4386-BDC1-BA4331B3FC98}">
  <ds:schemaRefs>
    <ds:schemaRef ds:uri="http://schemas.microsoft.com/sharepoint/v3/contenttype/forms"/>
  </ds:schemaRefs>
</ds:datastoreItem>
</file>

<file path=customXml/itemProps3.xml><?xml version="1.0" encoding="utf-8"?>
<ds:datastoreItem xmlns:ds="http://schemas.openxmlformats.org/officeDocument/2006/customXml" ds:itemID="{747D1B09-2A7F-4383-8821-F0B3A7D78ED5}">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9E4F3A75-5928-48C3-A36F-D52F680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Computer 3</cp:lastModifiedBy>
  <cp:revision>10</cp:revision>
  <dcterms:created xsi:type="dcterms:W3CDTF">2010-12-02T01:17:00Z</dcterms:created>
  <dcterms:modified xsi:type="dcterms:W3CDTF">2013-10-07T19:43:00Z</dcterms:modified>
</cp:coreProperties>
</file>